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62" w:rsidRDefault="008B2662" w:rsidP="008B2662">
      <w:pPr>
        <w:spacing w:before="120"/>
        <w:ind w:firstLine="720"/>
      </w:pPr>
      <w:r w:rsidRPr="00A02E8F">
        <w:rPr>
          <w:b/>
          <w:bCs/>
          <w:shd w:val="solid" w:color="FFFFFF" w:fill="auto"/>
        </w:rPr>
        <w:t>CƠ SỞ VẬT CHẤT PHỤC VỤ ĐÀO TẠO VÀ NGHIÊN CỨU:</w:t>
      </w:r>
    </w:p>
    <w:p w:rsidR="008B2662" w:rsidRPr="00A02E8F" w:rsidRDefault="008B2662" w:rsidP="008B2662">
      <w:pPr>
        <w:spacing w:before="120"/>
        <w:rPr>
          <w:b/>
        </w:rPr>
      </w:pPr>
      <w:r w:rsidRPr="00A02E8F">
        <w:rPr>
          <w:b/>
          <w:shd w:val="solid" w:color="FFFFFF" w:fill="auto"/>
        </w:rPr>
        <w:tab/>
        <w:t>1. Thống kê số lượng, diện tích đất, diện tích sàn xây dựng, ký túc xá</w:t>
      </w:r>
    </w:p>
    <w:p w:rsidR="008B2662" w:rsidRDefault="008B2662" w:rsidP="008B2662">
      <w:pPr>
        <w:shd w:val="clear" w:color="auto" w:fill="FFFFFF"/>
        <w:spacing w:before="120"/>
        <w:ind w:firstLine="709"/>
        <w:jc w:val="both"/>
        <w:outlineLvl w:val="4"/>
        <w:rPr>
          <w:bCs/>
        </w:rPr>
      </w:pPr>
      <w:r>
        <w:rPr>
          <w:bCs/>
        </w:rPr>
        <w:t>- Tổng diện tích đất của trường: 45.784m².</w:t>
      </w:r>
    </w:p>
    <w:p w:rsidR="008B2662" w:rsidRDefault="008B2662" w:rsidP="008B2662">
      <w:pPr>
        <w:shd w:val="clear" w:color="auto" w:fill="FFFFFF"/>
        <w:spacing w:before="120" w:after="120"/>
        <w:ind w:firstLine="709"/>
        <w:jc w:val="both"/>
        <w:outlineLvl w:val="4"/>
        <w:rPr>
          <w:bCs/>
        </w:rPr>
      </w:pPr>
      <w:r>
        <w:rPr>
          <w:bCs/>
        </w:rPr>
        <w:t>- Ký túc xá: Nhà trường không có ký túc xá riêng, nhưng khu Ký túc xá sinh viên của tỉnh Nam Định với trên 6.000 giường nằm ngay sát bên cạnh nhà trường được ưu tiên dành cho sinh viên trúng tuyển vào trường Đại học Lương Thế Vinh..</w:t>
      </w:r>
    </w:p>
    <w:p w:rsidR="008B2662" w:rsidRDefault="008B2662" w:rsidP="008B2662">
      <w:pPr>
        <w:shd w:val="clear" w:color="auto" w:fill="FFFFFF"/>
        <w:spacing w:before="120" w:after="120"/>
        <w:ind w:firstLine="709"/>
        <w:jc w:val="both"/>
        <w:outlineLvl w:val="4"/>
      </w:pPr>
      <w:r>
        <w:rPr>
          <w:bCs/>
        </w:rPr>
        <w:t>- Diện tích sàn xây dựng trực tiếp phục vụ đào tạo thuộc sở hữu của trường tính trên một sinh</w:t>
      </w:r>
      <w:r>
        <w:t xml:space="preserve"> viên chính quy: 26,6 m².</w:t>
      </w:r>
    </w:p>
    <w:tbl>
      <w:tblPr>
        <w:tblW w:w="5352" w:type="pct"/>
        <w:tblInd w:w="-152" w:type="dxa"/>
        <w:tblBorders>
          <w:insideH w:val="nil"/>
          <w:insideV w:val="nil"/>
        </w:tblBorders>
        <w:tblCellMar>
          <w:left w:w="0" w:type="dxa"/>
          <w:right w:w="0" w:type="dxa"/>
        </w:tblCellMar>
        <w:tblLook w:val="04A0" w:firstRow="1" w:lastRow="0" w:firstColumn="1" w:lastColumn="0" w:noHBand="0" w:noVBand="1"/>
      </w:tblPr>
      <w:tblGrid>
        <w:gridCol w:w="611"/>
        <w:gridCol w:w="6587"/>
        <w:gridCol w:w="963"/>
        <w:gridCol w:w="1831"/>
      </w:tblGrid>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
                <w:bCs/>
                <w:shd w:val="solid" w:color="FFFFFF" w:fill="auto"/>
              </w:rPr>
            </w:pPr>
            <w:r>
              <w:rPr>
                <w:b/>
                <w:bCs/>
                <w:shd w:val="solid" w:color="FFFFFF" w:fill="auto"/>
              </w:rPr>
              <w:t>TT</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
                <w:bCs/>
                <w:shd w:val="solid" w:color="FFFFFF" w:fill="auto"/>
              </w:rPr>
            </w:pPr>
            <w:r>
              <w:rPr>
                <w:b/>
                <w:bCs/>
                <w:shd w:val="solid" w:color="FFFFFF" w:fill="auto"/>
              </w:rPr>
              <w:t>Loại phòng</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
                <w:bCs/>
                <w:shd w:val="solid" w:color="FFFFFF" w:fill="auto"/>
              </w:rPr>
            </w:pPr>
            <w:r>
              <w:rPr>
                <w:b/>
                <w:bCs/>
                <w:shd w:val="solid" w:color="FFFFFF" w:fill="auto"/>
              </w:rPr>
              <w:t>Số lượng</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
                <w:bCs/>
                <w:shd w:val="solid" w:color="FFFFFF" w:fill="auto"/>
              </w:rPr>
            </w:pPr>
            <w:r>
              <w:rPr>
                <w:b/>
                <w:bCs/>
                <w:shd w:val="solid" w:color="FFFFFF" w:fill="auto"/>
              </w:rPr>
              <w:t>Diện tích sàn xây dựng (m2)</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Hội trường, giảng đường, phòng học các loại, phòng đa năng, phòng làm việc của giáo sư, phó giáo sư, giảng viên cơ hữu</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81</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6738</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1.1</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Hội trường, phòng học lớn trên 200 chỗ</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2</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500</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1.2</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Phòng học từ 100 - 200 chỗ</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10</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1230</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1.3</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Phòng học từ 50 - 100 chỗ</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39</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3040</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1.4</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Số phòng học dưới 50 chỗ</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5</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250</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1.5</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Số phòng học đa phương tiện</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150</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1.6</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Phòng làm việc của giáo sư, phó giáo sư, giảng viên cơ hữu</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24</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1568</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2</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Thư viện, trung tâm học liệu</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1</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350</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3</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rPr>
                <w:bCs/>
                <w:shd w:val="solid" w:color="FFFFFF" w:fill="auto"/>
              </w:rPr>
            </w:pPr>
            <w:r>
              <w:rPr>
                <w:bCs/>
                <w:shd w:val="solid" w:color="FFFFFF" w:fill="auto"/>
              </w:rPr>
              <w:t>Trung tâm nghiên cứu, phòng thí nghiệm, thực nghiệm, cơ sở thực hành, thực tập, luyện tập</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5</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528</w:t>
            </w:r>
          </w:p>
        </w:tc>
      </w:tr>
      <w:tr w:rsidR="008B2662" w:rsidTr="007D0DB2">
        <w:trPr>
          <w:trHeight w:val="20"/>
        </w:trPr>
        <w:tc>
          <w:tcPr>
            <w:tcW w:w="306" w:type="pct"/>
            <w:tcBorders>
              <w:top w:val="single" w:sz="8" w:space="0" w:color="auto"/>
              <w:left w:val="single" w:sz="8" w:space="0" w:color="auto"/>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 </w:t>
            </w:r>
          </w:p>
        </w:tc>
        <w:tc>
          <w:tcPr>
            <w:tcW w:w="329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Tổng (1+2+3)</w:t>
            </w:r>
          </w:p>
        </w:tc>
        <w:tc>
          <w:tcPr>
            <w:tcW w:w="482"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87</w:t>
            </w:r>
          </w:p>
        </w:tc>
        <w:tc>
          <w:tcPr>
            <w:tcW w:w="916" w:type="pct"/>
            <w:tcBorders>
              <w:top w:val="single" w:sz="8" w:space="0" w:color="auto"/>
              <w:left w:val="nil"/>
              <w:bottom w:val="single" w:sz="8" w:space="0" w:color="auto"/>
              <w:right w:val="single" w:sz="8" w:space="0" w:color="auto"/>
            </w:tcBorders>
            <w:vAlign w:val="center"/>
            <w:hideMark/>
          </w:tcPr>
          <w:p w:rsidR="008B2662" w:rsidRDefault="008B2662" w:rsidP="007D0DB2">
            <w:pPr>
              <w:spacing w:before="120" w:line="256" w:lineRule="auto"/>
              <w:jc w:val="center"/>
              <w:rPr>
                <w:bCs/>
                <w:shd w:val="solid" w:color="FFFFFF" w:fill="auto"/>
              </w:rPr>
            </w:pPr>
            <w:r>
              <w:rPr>
                <w:bCs/>
                <w:shd w:val="solid" w:color="FFFFFF" w:fill="auto"/>
              </w:rPr>
              <w:t>7616</w:t>
            </w:r>
          </w:p>
        </w:tc>
      </w:tr>
    </w:tbl>
    <w:p w:rsidR="008B2662" w:rsidRPr="00A02E8F" w:rsidRDefault="008B2662" w:rsidP="008B2662">
      <w:pPr>
        <w:spacing w:before="120"/>
        <w:ind w:firstLine="709"/>
        <w:rPr>
          <w:b/>
          <w:shd w:val="solid" w:color="FFFFFF" w:fill="auto"/>
        </w:rPr>
      </w:pPr>
      <w:bookmarkStart w:id="0" w:name="_GoBack"/>
      <w:bookmarkEnd w:id="0"/>
      <w:r w:rsidRPr="00A02E8F">
        <w:rPr>
          <w:b/>
          <w:shd w:val="solid" w:color="FFFFFF" w:fill="auto"/>
        </w:rPr>
        <w:t>2. Các thông tin khác</w:t>
      </w:r>
    </w:p>
    <w:p w:rsidR="008B2662" w:rsidRDefault="008B2662" w:rsidP="008B2662">
      <w:pPr>
        <w:spacing w:before="120" w:after="120"/>
        <w:ind w:firstLine="709"/>
        <w:jc w:val="both"/>
      </w:pPr>
      <w:r w:rsidRPr="00A02E8F">
        <w:t xml:space="preserve">a. </w:t>
      </w:r>
      <w:r>
        <w:t>Các phòng thực hành, phòng thí nghiệm và các trang thiết bị</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071"/>
        <w:gridCol w:w="4024"/>
        <w:gridCol w:w="2693"/>
      </w:tblGrid>
      <w:tr w:rsidR="008B2662" w:rsidTr="007D0DB2">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rPr>
                <w:b/>
              </w:rPr>
            </w:pPr>
            <w:r>
              <w:rPr>
                <w:b/>
              </w:rPr>
              <w:t>TT</w:t>
            </w:r>
          </w:p>
        </w:tc>
        <w:tc>
          <w:tcPr>
            <w:tcW w:w="2071"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rPr>
                <w:b/>
              </w:rPr>
            </w:pPr>
            <w:r>
              <w:rPr>
                <w:b/>
              </w:rPr>
              <w:t>Tên</w:t>
            </w:r>
          </w:p>
        </w:tc>
        <w:tc>
          <w:tcPr>
            <w:tcW w:w="402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rPr>
                <w:b/>
              </w:rPr>
            </w:pPr>
            <w:r>
              <w:rPr>
                <w:b/>
              </w:rPr>
              <w:t>Các trang thiết bị chính</w:t>
            </w:r>
          </w:p>
        </w:tc>
        <w:tc>
          <w:tcPr>
            <w:tcW w:w="2693"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center"/>
              <w:rPr>
                <w:b/>
              </w:rPr>
            </w:pPr>
            <w:r>
              <w:rPr>
                <w:b/>
              </w:rPr>
              <w:t>Phục vụ Ngành/Nhóm ngành/Khối ngành</w:t>
            </w:r>
          </w:p>
        </w:tc>
      </w:tr>
      <w:tr w:rsidR="008B2662" w:rsidTr="007D0DB2">
        <w:trPr>
          <w:trHeight w:val="1265"/>
        </w:trPr>
        <w:tc>
          <w:tcPr>
            <w:tcW w:w="85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center"/>
            </w:pPr>
            <w:r>
              <w:t>1</w:t>
            </w:r>
          </w:p>
        </w:tc>
        <w:tc>
          <w:tcPr>
            <w:tcW w:w="207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both"/>
            </w:pPr>
            <w:r>
              <w:t>Phòng thí nghiệm vật lý, hóa học</w:t>
            </w:r>
          </w:p>
        </w:tc>
        <w:tc>
          <w:tcPr>
            <w:tcW w:w="402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line="256" w:lineRule="auto"/>
              <w:jc w:val="both"/>
            </w:pPr>
            <w:r>
              <w:t>Máy hút ẩm, bếp cách thủy, tủ sấy, phễu triết, nhiệt kế thủy ngân, vòng tròn đổ bình cầu, chai nút mài, pipet thẳng, ống đong và các dụng cụ thí nghiệm khác ...</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Khối ngành V</w:t>
            </w:r>
          </w:p>
        </w:tc>
      </w:tr>
      <w:tr w:rsidR="008B2662" w:rsidTr="007D0DB2">
        <w:trPr>
          <w:trHeight w:val="353"/>
        </w:trPr>
        <w:tc>
          <w:tcPr>
            <w:tcW w:w="85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center"/>
            </w:pPr>
            <w:r>
              <w:lastRenderedPageBreak/>
              <w:t>2</w:t>
            </w:r>
          </w:p>
        </w:tc>
        <w:tc>
          <w:tcPr>
            <w:tcW w:w="207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both"/>
            </w:pPr>
            <w:r>
              <w:t>Phòng thí nghiệm sinh học</w:t>
            </w:r>
          </w:p>
        </w:tc>
        <w:tc>
          <w:tcPr>
            <w:tcW w:w="402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line="256" w:lineRule="auto"/>
              <w:jc w:val="both"/>
            </w:pPr>
            <w:r>
              <w:t>Máy khuấy từ gia nhiệt, máy so màu, máy ẩm, máy lắc, tủ ấm hiện số, và các dụng cụ khác ...</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Khối ngành V</w:t>
            </w:r>
          </w:p>
        </w:tc>
      </w:tr>
      <w:tr w:rsidR="008B2662" w:rsidTr="007D0DB2">
        <w:tc>
          <w:tcPr>
            <w:tcW w:w="85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center"/>
            </w:pPr>
            <w:r>
              <w:t>3</w:t>
            </w:r>
          </w:p>
        </w:tc>
        <w:tc>
          <w:tcPr>
            <w:tcW w:w="207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both"/>
            </w:pPr>
            <w:r>
              <w:t>Phòng Thực hành Xây dựng</w:t>
            </w:r>
          </w:p>
        </w:tc>
        <w:tc>
          <w:tcPr>
            <w:tcW w:w="402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line="256" w:lineRule="auto"/>
              <w:jc w:val="both"/>
            </w:pPr>
            <w:r>
              <w:t>Cối đầm chặt, cân kỹ thuật, máy thấm, máy nén, các dụng cụ, công cụ khác ...</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Khối ngành V</w:t>
            </w:r>
          </w:p>
        </w:tc>
      </w:tr>
      <w:tr w:rsidR="008B2662" w:rsidTr="007D0DB2">
        <w:tc>
          <w:tcPr>
            <w:tcW w:w="85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center"/>
            </w:pPr>
            <w:r>
              <w:t>4</w:t>
            </w:r>
          </w:p>
        </w:tc>
        <w:tc>
          <w:tcPr>
            <w:tcW w:w="207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both"/>
            </w:pPr>
            <w:r>
              <w:t>Phòng thực hành Điện</w:t>
            </w:r>
          </w:p>
        </w:tc>
        <w:tc>
          <w:tcPr>
            <w:tcW w:w="402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line="256" w:lineRule="auto"/>
              <w:jc w:val="both"/>
            </w:pPr>
            <w:r>
              <w:t>Máy giao động ký, máy hiện sóng, biến tần, động cơ mặt bích, các dụng cụ khác ...</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Khối ngành V</w:t>
            </w:r>
          </w:p>
        </w:tc>
      </w:tr>
      <w:tr w:rsidR="008B2662" w:rsidTr="007D0DB2">
        <w:tc>
          <w:tcPr>
            <w:tcW w:w="85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center"/>
            </w:pPr>
            <w:r>
              <w:t>5</w:t>
            </w:r>
          </w:p>
        </w:tc>
        <w:tc>
          <w:tcPr>
            <w:tcW w:w="2071" w:type="dxa"/>
            <w:tcBorders>
              <w:top w:val="single" w:sz="4" w:space="0" w:color="auto"/>
              <w:left w:val="single" w:sz="4" w:space="0" w:color="auto"/>
              <w:bottom w:val="single" w:sz="4" w:space="0" w:color="auto"/>
              <w:right w:val="single" w:sz="4" w:space="0" w:color="auto"/>
            </w:tcBorders>
            <w:hideMark/>
          </w:tcPr>
          <w:p w:rsidR="008B2662" w:rsidRDefault="008B2662" w:rsidP="007D0DB2">
            <w:pPr>
              <w:spacing w:before="120" w:after="120" w:line="256" w:lineRule="auto"/>
              <w:jc w:val="both"/>
            </w:pPr>
            <w:r>
              <w:t>Phòng Thực hành Cơ khí</w:t>
            </w:r>
          </w:p>
        </w:tc>
        <w:tc>
          <w:tcPr>
            <w:tcW w:w="402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line="256" w:lineRule="auto"/>
              <w:jc w:val="both"/>
            </w:pPr>
            <w:r>
              <w:t>Máy phay lăn răng (CNC), máy tiện, máy khoan cần, các công cụ, dụng cụ khác ...</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Khối ngành V</w:t>
            </w:r>
          </w:p>
        </w:tc>
      </w:tr>
    </w:tbl>
    <w:p w:rsidR="008B2662" w:rsidRPr="002B5696" w:rsidRDefault="008B2662" w:rsidP="008B2662">
      <w:pPr>
        <w:spacing w:before="120" w:after="120"/>
        <w:ind w:firstLine="720"/>
        <w:jc w:val="both"/>
        <w:rPr>
          <w:spacing w:val="-8"/>
        </w:rPr>
      </w:pPr>
      <w:r w:rsidRPr="002B5696">
        <w:rPr>
          <w:spacing w:val="-8"/>
        </w:rPr>
        <w:t>b. Thống kê về học liệu (sách, tạp chí, ebook, cơ sở dữ liệu điện tử trong thư viện của trường)</w:t>
      </w:r>
    </w:p>
    <w:tbl>
      <w:tblPr>
        <w:tblW w:w="96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565"/>
        <w:gridCol w:w="4274"/>
      </w:tblGrid>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rPr>
                <w:b/>
              </w:rPr>
            </w:pPr>
            <w:r>
              <w:rPr>
                <w:b/>
              </w:rPr>
              <w:t>TT</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rPr>
                <w:b/>
              </w:rPr>
            </w:pPr>
            <w:r>
              <w:rPr>
                <w:b/>
              </w:rPr>
              <w:t>Nhóm ngành đào tạo</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rPr>
                <w:b/>
              </w:rPr>
            </w:pPr>
            <w:r>
              <w:rPr>
                <w:b/>
              </w:rPr>
              <w:t>Số lượng (đầu sách)</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1</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I</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0</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2</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II</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0</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3</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III</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2.453</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4</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IV</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0</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5</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V</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1.526</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6</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VI</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0</w:t>
            </w:r>
          </w:p>
        </w:tc>
      </w:tr>
      <w:tr w:rsidR="008B2662" w:rsidTr="007D0DB2">
        <w:tc>
          <w:tcPr>
            <w:tcW w:w="822"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7</w:t>
            </w:r>
          </w:p>
        </w:tc>
        <w:tc>
          <w:tcPr>
            <w:tcW w:w="4565"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both"/>
            </w:pPr>
            <w:r>
              <w:t>Nhóm ngành VII</w:t>
            </w:r>
          </w:p>
        </w:tc>
        <w:tc>
          <w:tcPr>
            <w:tcW w:w="4274" w:type="dxa"/>
            <w:tcBorders>
              <w:top w:val="single" w:sz="4" w:space="0" w:color="auto"/>
              <w:left w:val="single" w:sz="4" w:space="0" w:color="auto"/>
              <w:bottom w:val="single" w:sz="4" w:space="0" w:color="auto"/>
              <w:right w:val="single" w:sz="4" w:space="0" w:color="auto"/>
            </w:tcBorders>
            <w:vAlign w:val="center"/>
            <w:hideMark/>
          </w:tcPr>
          <w:p w:rsidR="008B2662" w:rsidRDefault="008B2662" w:rsidP="007D0DB2">
            <w:pPr>
              <w:spacing w:before="120" w:after="120" w:line="256" w:lineRule="auto"/>
              <w:jc w:val="center"/>
            </w:pPr>
            <w:r>
              <w:t>352</w:t>
            </w:r>
          </w:p>
        </w:tc>
      </w:tr>
    </w:tbl>
    <w:p w:rsidR="006C4D00" w:rsidRDefault="006C4D00"/>
    <w:sectPr w:rsidR="006C4D00" w:rsidSect="00627FF6">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62"/>
    <w:rsid w:val="00007FEE"/>
    <w:rsid w:val="000D5736"/>
    <w:rsid w:val="002D1B16"/>
    <w:rsid w:val="002F4345"/>
    <w:rsid w:val="00627FF6"/>
    <w:rsid w:val="006C4D00"/>
    <w:rsid w:val="00707AF5"/>
    <w:rsid w:val="008359ED"/>
    <w:rsid w:val="008B2662"/>
    <w:rsid w:val="009B1AF5"/>
    <w:rsid w:val="009C00F9"/>
    <w:rsid w:val="00EC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49867-63E5-4F95-AF36-ACD38A19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B1AF5"/>
    <w:pPr>
      <w:keepNext/>
      <w:keepLines/>
      <w:spacing w:before="12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B1AF5"/>
    <w:pPr>
      <w:keepNext/>
      <w:keepLines/>
      <w:spacing w:before="120"/>
      <w:jc w:val="both"/>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AF5"/>
    <w:rPr>
      <w:rFonts w:eastAsiaTheme="majorEastAsia" w:cstheme="majorBidi"/>
      <w:b/>
      <w:szCs w:val="32"/>
    </w:rPr>
  </w:style>
  <w:style w:type="character" w:customStyle="1" w:styleId="Heading2Char">
    <w:name w:val="Heading 2 Char"/>
    <w:basedOn w:val="DefaultParagraphFont"/>
    <w:link w:val="Heading2"/>
    <w:uiPriority w:val="9"/>
    <w:rsid w:val="009B1AF5"/>
    <w:rPr>
      <w:rFonts w:eastAsiaTheme="majorEastAsia"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2022-07-21T01:42:00Z</dcterms:created>
  <dcterms:modified xsi:type="dcterms:W3CDTF">2022-07-21T01:44:00Z</dcterms:modified>
</cp:coreProperties>
</file>